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25D0" w14:textId="316A945A" w:rsidR="002E7557" w:rsidRDefault="008D03EF" w:rsidP="002E7557">
      <w:pPr>
        <w:rPr>
          <w:rFonts w:ascii="Segoe UI" w:hAnsi="Segoe UI" w:cs="Segoe UI"/>
          <w:color w:val="FFFFFF"/>
          <w:sz w:val="24"/>
          <w:szCs w:val="24"/>
          <w:lang w:eastAsia="es-CO"/>
        </w:rPr>
      </w:pPr>
      <w:r w:rsidRPr="008D03EF">
        <w:rPr>
          <w:rFonts w:ascii="Arial" w:hAnsi="Arial" w:cs="Arial"/>
          <w:b/>
          <w:sz w:val="22"/>
          <w:szCs w:val="22"/>
          <w:lang w:val="es-ES"/>
        </w:rPr>
        <w:t>Referencia normativa: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Ley 1221 de 2008. Por la cual se establecen normas para promover y regular el Teletrabajo y se dictan otras disposiciones.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Decreto 884 de 2012. Por medio del cual se reglamenta la Ley 1221 de 2008 y se dictan otras disposiciones.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Decreto 1072 de 2015. Por medio del cual se expide el Decreto Único Reglamentario del Sector Trabajo.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Decreto 1083 de 2015. Por medio del cual se expide el Decreto Único Reglamentario del Sector de Función Pública.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Decreto 648 de 2017. Por el cual se modifica y adiciona el Decreto 1083 de 2015, Reglamentario Único del Sector de la Función Pública.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Circular 027 de 2019. Precisiones sobre la Implementación del Teletrabajo. Ministerio del Trabajo.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Decreto 1227 de 2022. Por el cual se modifican y adicionan artículos al Decreto 1072 de 2015.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 Resolución 3192 de 2022. Por la cual se reglamentan los plazos y la metodología para la elaboración de la política pública de fomento e implementación del Teletrabajo.</w:t>
      </w:r>
      <w:r w:rsidRPr="008D03EF">
        <w:rPr>
          <w:rFonts w:ascii="Arial" w:hAnsi="Arial" w:cs="Arial"/>
          <w:sz w:val="22"/>
          <w:szCs w:val="22"/>
          <w:lang w:val="es-ES"/>
        </w:rPr>
        <w:br/>
        <w:t>• Resolución 103 de 01 de marzo del 2023 " Por la cual se adopta el piloto para la modalidad de teletrabajo en la Escuela Tecnológica instituto Técnico Central</w:t>
      </w:r>
      <w:proofErr w:type="gramStart"/>
      <w:r w:rsidRPr="008D03EF">
        <w:rPr>
          <w:rFonts w:ascii="Arial" w:hAnsi="Arial" w:cs="Arial"/>
          <w:sz w:val="22"/>
          <w:szCs w:val="22"/>
          <w:lang w:val="es-ES"/>
        </w:rPr>
        <w:t>".•</w:t>
      </w:r>
      <w:proofErr w:type="gramEnd"/>
      <w:r w:rsidRPr="008D03EF">
        <w:rPr>
          <w:rFonts w:ascii="Segoe UI" w:hAnsi="Segoe UI" w:cs="Segoe UI"/>
          <w:color w:val="FFFFFF"/>
          <w:sz w:val="24"/>
          <w:szCs w:val="24"/>
          <w:lang w:eastAsia="es-CO"/>
        </w:rPr>
        <w:t xml:space="preserve"> </w:t>
      </w:r>
    </w:p>
    <w:p w14:paraId="60CA1031" w14:textId="42DC1D4A" w:rsidR="002E7557" w:rsidRDefault="002E7557" w:rsidP="002E7557">
      <w:pPr>
        <w:rPr>
          <w:rFonts w:ascii="Segoe UI" w:hAnsi="Segoe UI" w:cs="Segoe UI"/>
          <w:color w:val="FFFFFF"/>
          <w:sz w:val="24"/>
          <w:szCs w:val="24"/>
          <w:lang w:eastAsia="es-CO"/>
        </w:rPr>
      </w:pPr>
    </w:p>
    <w:p w14:paraId="115C7288" w14:textId="62B5BFFA" w:rsidR="002E7557" w:rsidRPr="007A7D26" w:rsidRDefault="002E7557" w:rsidP="00486616">
      <w:pPr>
        <w:pStyle w:val="Prrafodelista"/>
        <w:numPr>
          <w:ilvl w:val="0"/>
          <w:numId w:val="13"/>
        </w:numPr>
        <w:jc w:val="center"/>
        <w:rPr>
          <w:rFonts w:ascii="Segoe UI" w:hAnsi="Segoe UI" w:cs="Segoe UI"/>
          <w:b/>
          <w:color w:val="FFFFFF"/>
          <w:sz w:val="28"/>
          <w:szCs w:val="28"/>
          <w:lang w:eastAsia="es-CO"/>
        </w:rPr>
      </w:pPr>
      <w:r w:rsidRPr="007A7D2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1. </w:t>
      </w:r>
      <w:r w:rsidR="007A7D26" w:rsidRPr="007A7D2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Realizar Evaluacion de Teletrabajo en el </w:t>
      </w:r>
      <w:r w:rsidRPr="007A7D26">
        <w:rPr>
          <w:rFonts w:ascii="Arial" w:eastAsia="Times New Roman" w:hAnsi="Arial" w:cs="Arial"/>
          <w:b/>
          <w:sz w:val="28"/>
          <w:szCs w:val="28"/>
          <w:lang w:val="es-ES" w:eastAsia="es-ES"/>
        </w:rPr>
        <w:t>siguiente</w:t>
      </w:r>
      <w:r w:rsidRPr="007A7D26">
        <w:rPr>
          <w:rFonts w:ascii="Segoe UI" w:hAnsi="Segoe UI" w:cs="Segoe UI"/>
          <w:b/>
          <w:color w:val="FFFFFF"/>
          <w:sz w:val="28"/>
          <w:szCs w:val="28"/>
          <w:lang w:eastAsia="es-CO"/>
        </w:rPr>
        <w:t xml:space="preserve"> </w:t>
      </w:r>
      <w:r w:rsidR="00486616" w:rsidRPr="007A7D26">
        <w:rPr>
          <w:rFonts w:ascii="Arial" w:eastAsia="Times New Roman" w:hAnsi="Arial" w:cs="Arial"/>
          <w:b/>
          <w:sz w:val="28"/>
          <w:szCs w:val="28"/>
          <w:lang w:val="es-ES" w:eastAsia="es-ES"/>
        </w:rPr>
        <w:t>link:</w:t>
      </w:r>
    </w:p>
    <w:p w14:paraId="303D5A44" w14:textId="3158D714" w:rsidR="00486616" w:rsidRPr="00486616" w:rsidRDefault="00486616" w:rsidP="00486616">
      <w:pPr>
        <w:jc w:val="center"/>
        <w:rPr>
          <w:rFonts w:ascii="Segoe UI" w:hAnsi="Segoe UI" w:cs="Segoe UI"/>
          <w:b/>
          <w:color w:val="FFFFFF"/>
          <w:sz w:val="24"/>
          <w:szCs w:val="24"/>
          <w:lang w:eastAsia="es-CO"/>
        </w:rPr>
      </w:pPr>
      <w:hyperlink r:id="rId8" w:tgtFrame="_blank" w:history="1">
        <w:r>
          <w:rPr>
            <w:rStyle w:val="Hipervnculo"/>
            <w:rFonts w:ascii="Arial" w:hAnsi="Arial" w:cs="Arial"/>
            <w:bdr w:val="none" w:sz="0" w:space="0" w:color="auto" w:frame="1"/>
          </w:rPr>
          <w:t>https://forms.office.com/r/AcLzQ2X3pC</w:t>
        </w:r>
      </w:hyperlink>
    </w:p>
    <w:p w14:paraId="0D22327C" w14:textId="5BD700C1" w:rsidR="008D03EF" w:rsidRDefault="008D03EF" w:rsidP="008D03EF">
      <w:pPr>
        <w:rPr>
          <w:rFonts w:ascii="Segoe UI" w:hAnsi="Segoe UI" w:cs="Segoe UI"/>
          <w:color w:val="FFFFFF"/>
          <w:sz w:val="24"/>
          <w:szCs w:val="24"/>
          <w:lang w:eastAsia="es-CO"/>
        </w:rPr>
      </w:pPr>
      <w:r w:rsidRPr="008D03EF">
        <w:rPr>
          <w:rFonts w:ascii="Segoe UI" w:hAnsi="Segoe UI" w:cs="Segoe UI"/>
          <w:color w:val="FFFFFF"/>
          <w:sz w:val="24"/>
          <w:szCs w:val="24"/>
          <w:lang w:eastAsia="es-CO"/>
        </w:rPr>
        <w:t>e</w:t>
      </w:r>
    </w:p>
    <w:p w14:paraId="73F7761E" w14:textId="77777777" w:rsidR="008D03EF" w:rsidRDefault="008D03EF" w:rsidP="008D03EF">
      <w:pPr>
        <w:rPr>
          <w:rFonts w:ascii="Segoe UI" w:hAnsi="Segoe UI" w:cs="Segoe UI"/>
          <w:color w:val="FFFFFF"/>
          <w:sz w:val="24"/>
          <w:szCs w:val="24"/>
          <w:lang w:eastAsia="es-CO"/>
        </w:rPr>
      </w:pPr>
      <w:bookmarkStart w:id="0" w:name="_GoBack"/>
      <w:bookmarkEnd w:id="0"/>
    </w:p>
    <w:p w14:paraId="777B4A24" w14:textId="77777777" w:rsidR="008D03EF" w:rsidRDefault="008D03EF" w:rsidP="008D03EF">
      <w:pPr>
        <w:rPr>
          <w:rFonts w:ascii="Segoe UI" w:hAnsi="Segoe UI" w:cs="Segoe UI"/>
          <w:color w:val="FFFFFF"/>
          <w:sz w:val="24"/>
          <w:szCs w:val="24"/>
          <w:lang w:eastAsia="es-CO"/>
        </w:rPr>
      </w:pPr>
    </w:p>
    <w:p w14:paraId="7D496183" w14:textId="511847A4" w:rsidR="00783810" w:rsidRPr="00783810" w:rsidRDefault="00783810" w:rsidP="00A132B0">
      <w:pPr>
        <w:rPr>
          <w:rFonts w:ascii="Segoe UI" w:hAnsi="Segoe UI" w:cs="Segoe UI"/>
          <w:color w:val="FFFFFF"/>
          <w:sz w:val="24"/>
          <w:szCs w:val="24"/>
          <w:lang w:val="es-CO" w:eastAsia="es-CO"/>
        </w:rPr>
      </w:pPr>
      <w:r w:rsidRPr="008D03EF">
        <w:rPr>
          <w:rFonts w:ascii="Segoe UI" w:hAnsi="Segoe UI" w:cs="Segoe UI"/>
          <w:color w:val="FFFFFF"/>
          <w:sz w:val="24"/>
          <w:szCs w:val="24"/>
          <w:lang w:eastAsia="es-CO"/>
        </w:rPr>
        <w:t>de 2022. Por el cual se modifican y adicionan artículos al Decreto 1072 de 2015.</w:t>
      </w:r>
      <w:r w:rsidRPr="008D03EF">
        <w:rPr>
          <w:rFonts w:ascii="Segoe UI" w:hAnsi="Segoe UI" w:cs="Segoe UI"/>
          <w:color w:val="FFFFFF"/>
          <w:sz w:val="24"/>
          <w:szCs w:val="24"/>
          <w:lang w:eastAsia="es-CO"/>
        </w:rPr>
        <w:br/>
        <w:t xml:space="preserve">• Resolución 3192 de 2022. Por la cual se reglamentan los plazos y la metodología para la elaboración de la política pública de fomento e </w:t>
      </w:r>
    </w:p>
    <w:sectPr w:rsidR="00783810" w:rsidRPr="00783810" w:rsidSect="00756DFB">
      <w:headerReference w:type="default" r:id="rId9"/>
      <w:footerReference w:type="default" r:id="rId10"/>
      <w:headerReference w:type="first" r:id="rId11"/>
      <w:footerReference w:type="first" r:id="rId12"/>
      <w:pgSz w:w="12242" w:h="15842" w:code="126"/>
      <w:pgMar w:top="2268" w:right="1327" w:bottom="1134" w:left="1644" w:header="181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0052" w14:textId="77777777" w:rsidR="009E2196" w:rsidRDefault="009E2196">
      <w:r>
        <w:separator/>
      </w:r>
    </w:p>
  </w:endnote>
  <w:endnote w:type="continuationSeparator" w:id="0">
    <w:p w14:paraId="16E483CE" w14:textId="77777777" w:rsidR="009E2196" w:rsidRDefault="009E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551"/>
      <w:gridCol w:w="425"/>
      <w:gridCol w:w="2694"/>
      <w:gridCol w:w="425"/>
    </w:tblGrid>
    <w:tr w:rsidR="00F22DCA" w:rsidRPr="00F51731" w14:paraId="70B53006" w14:textId="77777777" w:rsidTr="00CF73B4">
      <w:trPr>
        <w:trHeight w:val="35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169E46" w14:textId="77777777" w:rsidR="00F22DCA" w:rsidRPr="00F51731" w:rsidRDefault="00F22DCA" w:rsidP="00F22DCA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C2DD31" w14:textId="77777777" w:rsidR="00F22DCA" w:rsidRPr="00F51731" w:rsidRDefault="00F22DCA" w:rsidP="00F22DCA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6AC5AA6" w14:textId="77777777" w:rsidR="00F22DCA" w:rsidRPr="00F51731" w:rsidRDefault="00F22DCA" w:rsidP="00F22DCA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1E4E79" w14:textId="77777777" w:rsidR="00F22DCA" w:rsidRPr="00F51731" w:rsidRDefault="00F22DCA" w:rsidP="00F22DCA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EB54C54" w14:textId="77777777" w:rsidR="00F22DCA" w:rsidRPr="00F51731" w:rsidRDefault="00F22DCA" w:rsidP="00F22DCA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3DFA38" w14:textId="77777777" w:rsidR="00F22DCA" w:rsidRPr="00F51731" w:rsidRDefault="00F22DCA" w:rsidP="00F22DCA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0B1D7A37" w14:textId="77777777" w:rsidR="009B1E0B" w:rsidRDefault="009B1E0B">
    <w:pPr>
      <w:rPr>
        <w:noProof/>
      </w:rPr>
    </w:pPr>
  </w:p>
  <w:p w14:paraId="04E65179" w14:textId="77777777" w:rsidR="00D9110A" w:rsidRDefault="00D9110A">
    <w:pPr>
      <w:rPr>
        <w:noProof/>
      </w:rPr>
    </w:pPr>
  </w:p>
  <w:p w14:paraId="12D038FF" w14:textId="77777777" w:rsidR="00D9110A" w:rsidRDefault="00D9110A">
    <w:pPr>
      <w:rPr>
        <w:noProof/>
      </w:rPr>
    </w:pPr>
  </w:p>
  <w:p w14:paraId="59273E4A" w14:textId="77777777" w:rsidR="00D9110A" w:rsidRDefault="00D9110A">
    <w:pPr>
      <w:rPr>
        <w:noProof/>
      </w:rPr>
    </w:pPr>
  </w:p>
  <w:p w14:paraId="518D8ACD" w14:textId="77777777" w:rsidR="00D9110A" w:rsidRDefault="00D9110A">
    <w:pPr>
      <w:rPr>
        <w:noProof/>
      </w:rPr>
    </w:pPr>
  </w:p>
  <w:p w14:paraId="3E12C638" w14:textId="77777777" w:rsidR="009B1E0B" w:rsidRDefault="009B1E0B">
    <w:pPr>
      <w:framePr w:hSpace="180" w:wrap="auto" w:vAnchor="text" w:hAnchor="text" w:x="3626" w:y="-838"/>
      <w:rPr>
        <w:noProof/>
      </w:rPr>
    </w:pPr>
  </w:p>
  <w:p w14:paraId="714B33D3" w14:textId="77777777" w:rsidR="009B1E0B" w:rsidRDefault="009B1E0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063F" w14:textId="77777777" w:rsidR="00A928D6" w:rsidRPr="007D04D4" w:rsidRDefault="00A928D6" w:rsidP="00BD4CF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1E24" w14:textId="77777777" w:rsidR="009E2196" w:rsidRDefault="009E2196">
      <w:r>
        <w:separator/>
      </w:r>
    </w:p>
  </w:footnote>
  <w:footnote w:type="continuationSeparator" w:id="0">
    <w:p w14:paraId="62B17A53" w14:textId="77777777" w:rsidR="009E2196" w:rsidRDefault="009E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961"/>
      <w:gridCol w:w="2694"/>
    </w:tblGrid>
    <w:tr w:rsidR="00C86E35" w:rsidRPr="000E3EC3" w14:paraId="3878BD2C" w14:textId="77777777" w:rsidTr="00CF73B4">
      <w:trPr>
        <w:trHeight w:val="1119"/>
      </w:trPr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14:paraId="121FA99A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sz w:val="2"/>
              <w:szCs w:val="2"/>
              <w:lang w:val="es-MX"/>
            </w:rPr>
          </w:pPr>
        </w:p>
        <w:p w14:paraId="63BA3F00" w14:textId="77777777" w:rsidR="00C86E35" w:rsidRPr="000E3EC3" w:rsidRDefault="00C86E35" w:rsidP="00C86E35">
          <w:pPr>
            <w:pStyle w:val="Sinespaciado"/>
            <w:jc w:val="center"/>
            <w:rPr>
              <w:rFonts w:ascii="Arial" w:hAnsi="Arial" w:cs="Arial"/>
              <w:szCs w:val="18"/>
              <w:lang w:val="es-MX"/>
            </w:rPr>
          </w:pPr>
          <w:r w:rsidRPr="000E3EC3">
            <w:rPr>
              <w:rFonts w:ascii="Arial" w:hAnsi="Arial" w:cs="Arial"/>
              <w:noProof/>
              <w:lang w:eastAsia="es-ES_tradnl"/>
            </w:rPr>
            <w:drawing>
              <wp:inline distT="0" distB="0" distL="0" distR="0" wp14:anchorId="0AFE21DF" wp14:editId="5266162B">
                <wp:extent cx="762000" cy="749300"/>
                <wp:effectExtent l="0" t="0" r="0" b="0"/>
                <wp:docPr id="2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FDCD5" w14:textId="77777777" w:rsidR="00C86E35" w:rsidRPr="000E3EC3" w:rsidRDefault="00C86E35" w:rsidP="00C86E35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14:paraId="2A97BE8F" w14:textId="77777777" w:rsidR="00C86E35" w:rsidRPr="000E3EC3" w:rsidRDefault="00C86E35" w:rsidP="00C86E35">
          <w:pPr>
            <w:pStyle w:val="Sinespaciado"/>
            <w:jc w:val="center"/>
            <w:rPr>
              <w:rFonts w:ascii="Arial" w:hAnsi="Arial" w:cs="Arial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961" w:type="dxa"/>
          <w:tcBorders>
            <w:left w:val="single" w:sz="4" w:space="0" w:color="auto"/>
          </w:tcBorders>
        </w:tcPr>
        <w:p w14:paraId="1A762C13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lang w:val="es-MX"/>
            </w:rPr>
          </w:pPr>
        </w:p>
        <w:p w14:paraId="42858A40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lang w:val="es-MX"/>
            </w:rPr>
          </w:pPr>
        </w:p>
        <w:p w14:paraId="18159FAE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lang w:val="es-MX"/>
            </w:rPr>
          </w:pPr>
        </w:p>
        <w:p w14:paraId="109B954E" w14:textId="44CD83E2" w:rsidR="00C86E35" w:rsidRPr="000E3EC3" w:rsidRDefault="006716D7" w:rsidP="00C86E35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EVALUACION DE</w:t>
          </w:r>
          <w:r w:rsidR="00783810">
            <w:rPr>
              <w:rFonts w:ascii="Arial" w:hAnsi="Arial" w:cs="Arial"/>
              <w:b/>
              <w:lang w:val="es-MX"/>
            </w:rPr>
            <w:t xml:space="preserve"> LA MODALIDAD</w:t>
          </w:r>
          <w:r>
            <w:rPr>
              <w:rFonts w:ascii="Arial" w:hAnsi="Arial" w:cs="Arial"/>
              <w:b/>
              <w:lang w:val="es-MX"/>
            </w:rPr>
            <w:t xml:space="preserve"> </w:t>
          </w:r>
          <w:r w:rsidR="00783810">
            <w:rPr>
              <w:rFonts w:ascii="Arial" w:hAnsi="Arial" w:cs="Arial"/>
              <w:b/>
              <w:lang w:val="es-MX"/>
            </w:rPr>
            <w:t xml:space="preserve">DE </w:t>
          </w:r>
          <w:r>
            <w:rPr>
              <w:rFonts w:ascii="Arial" w:hAnsi="Arial" w:cs="Arial"/>
              <w:b/>
              <w:lang w:val="es-MX"/>
            </w:rPr>
            <w:t>TELETRABAJO</w:t>
          </w:r>
        </w:p>
      </w:tc>
      <w:tc>
        <w:tcPr>
          <w:tcW w:w="2694" w:type="dxa"/>
        </w:tcPr>
        <w:p w14:paraId="3BBB8290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238CB51E" w14:textId="4C2EE1AA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CODIGO:   </w:t>
          </w:r>
          <w:r>
            <w:rPr>
              <w:rFonts w:ascii="Arial" w:hAnsi="Arial" w:cs="Arial"/>
              <w:b/>
              <w:sz w:val="18"/>
              <w:szCs w:val="18"/>
              <w:lang w:val="es-MX"/>
            </w:rPr>
            <w:t>GTH-FO-4</w:t>
          </w:r>
          <w:r w:rsidR="00783810">
            <w:rPr>
              <w:rFonts w:ascii="Arial" w:hAnsi="Arial" w:cs="Arial"/>
              <w:b/>
              <w:sz w:val="18"/>
              <w:szCs w:val="18"/>
              <w:lang w:val="es-MX"/>
            </w:rPr>
            <w:t>5</w:t>
          </w:r>
        </w:p>
        <w:p w14:paraId="680CFB77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5517ED94" w14:textId="7624FA0B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VERSIÓN:  </w:t>
          </w:r>
          <w:r w:rsidR="00783810">
            <w:rPr>
              <w:rFonts w:ascii="Arial" w:hAnsi="Arial" w:cs="Arial"/>
              <w:b/>
              <w:sz w:val="18"/>
              <w:szCs w:val="18"/>
              <w:lang w:val="es-MX"/>
            </w:rPr>
            <w:t>2</w:t>
          </w:r>
        </w:p>
        <w:p w14:paraId="12022F72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78E2D25F" w14:textId="1542ADEB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VIGENCIA: </w:t>
          </w:r>
          <w:proofErr w:type="gramStart"/>
          <w:r w:rsidR="00B82969">
            <w:rPr>
              <w:rFonts w:ascii="Arial" w:hAnsi="Arial" w:cs="Arial"/>
              <w:b/>
              <w:sz w:val="18"/>
              <w:szCs w:val="18"/>
              <w:lang w:val="es-MX"/>
            </w:rPr>
            <w:t>M</w:t>
          </w:r>
          <w:r w:rsidR="00486616">
            <w:rPr>
              <w:rFonts w:ascii="Arial" w:hAnsi="Arial" w:cs="Arial"/>
              <w:b/>
              <w:sz w:val="18"/>
              <w:szCs w:val="18"/>
              <w:lang w:val="es-MX"/>
            </w:rPr>
            <w:t>ayo</w:t>
          </w:r>
          <w:proofErr w:type="gramEnd"/>
          <w:r w:rsidR="00783810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 04 de 2023</w:t>
          </w:r>
        </w:p>
        <w:p w14:paraId="30AD7BED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0A77FEDB" w14:textId="77777777" w:rsidR="00C86E35" w:rsidRPr="000E3EC3" w:rsidRDefault="00C86E35" w:rsidP="00C86E35">
          <w:pPr>
            <w:pStyle w:val="Sinespaciado"/>
            <w:rPr>
              <w:rFonts w:ascii="Arial" w:hAnsi="Arial" w:cs="Arial"/>
              <w:b/>
              <w:color w:val="FF0000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PÁGINA:    1 de 1</w:t>
          </w:r>
        </w:p>
      </w:tc>
    </w:tr>
  </w:tbl>
  <w:p w14:paraId="08C15066" w14:textId="77777777" w:rsidR="00E43CBC" w:rsidRDefault="00E43CBC">
    <w:pPr>
      <w:pStyle w:val="Encabezado"/>
    </w:pPr>
  </w:p>
  <w:p w14:paraId="73FE719A" w14:textId="77777777" w:rsidR="00381E3E" w:rsidRPr="00381E3E" w:rsidRDefault="00381E3E" w:rsidP="008746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4123"/>
      <w:gridCol w:w="3107"/>
    </w:tblGrid>
    <w:tr w:rsidR="00BD4CF7" w:rsidRPr="005E5C14" w14:paraId="325D72DD" w14:textId="77777777" w:rsidTr="00AE3B5C">
      <w:trPr>
        <w:trHeight w:val="418"/>
      </w:trPr>
      <w:tc>
        <w:tcPr>
          <w:tcW w:w="1673" w:type="dxa"/>
          <w:vMerge w:val="restart"/>
          <w:vAlign w:val="center"/>
        </w:tcPr>
        <w:p w14:paraId="1B9821A0" w14:textId="77777777" w:rsidR="00BD4CF7" w:rsidRPr="0059431E" w:rsidRDefault="0059431E" w:rsidP="0059431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 wp14:anchorId="0E14F59D" wp14:editId="551F312B">
                <wp:extent cx="942975" cy="828675"/>
                <wp:effectExtent l="0" t="0" r="0" b="0"/>
                <wp:docPr id="17" name="Imagen 17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vMerge w:val="restart"/>
          <w:shd w:val="clear" w:color="auto" w:fill="auto"/>
          <w:vAlign w:val="center"/>
        </w:tcPr>
        <w:p w14:paraId="364EC547" w14:textId="77777777" w:rsidR="00BD4CF7" w:rsidRPr="00AE3B5C" w:rsidRDefault="00AE3B5C" w:rsidP="00F06850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lang w:val="es-CO"/>
            </w:rPr>
          </w:pPr>
          <w:r w:rsidRPr="00AE3B5C">
            <w:rPr>
              <w:rFonts w:ascii="Arial" w:hAnsi="Arial" w:cs="Arial"/>
              <w:b/>
            </w:rPr>
            <w:t>LISTA DE VERIFICACIÓN DE CONDICIONES TÉCNICAS MÍNIMAS DE EQUIPOS PARA TELETRABAJO – IDEP</w:t>
          </w:r>
        </w:p>
      </w:tc>
      <w:tc>
        <w:tcPr>
          <w:tcW w:w="3119" w:type="dxa"/>
          <w:shd w:val="clear" w:color="auto" w:fill="auto"/>
          <w:vAlign w:val="center"/>
        </w:tcPr>
        <w:p w14:paraId="06F2F995" w14:textId="77777777" w:rsidR="00BD4CF7" w:rsidRPr="00F54BD7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F54BD7">
            <w:rPr>
              <w:rFonts w:ascii="Arial" w:hAnsi="Arial"/>
              <w:b/>
              <w:sz w:val="16"/>
              <w:szCs w:val="16"/>
              <w:lang w:val="es-CO"/>
            </w:rPr>
            <w:t xml:space="preserve">Código:  </w:t>
          </w:r>
          <w:r w:rsidR="0059431E">
            <w:rPr>
              <w:rFonts w:ascii="Arial" w:hAnsi="Arial"/>
              <w:b/>
              <w:sz w:val="16"/>
              <w:szCs w:val="16"/>
              <w:lang w:val="es-CO"/>
            </w:rPr>
            <w:t>FT-GTH-13-</w:t>
          </w:r>
          <w:r w:rsidR="0059431E" w:rsidRPr="0059431E">
            <w:rPr>
              <w:rFonts w:ascii="Arial" w:hAnsi="Arial"/>
              <w:b/>
              <w:color w:val="FF0000"/>
              <w:sz w:val="16"/>
              <w:szCs w:val="16"/>
              <w:lang w:val="es-CO"/>
            </w:rPr>
            <w:t>XX</w:t>
          </w:r>
        </w:p>
      </w:tc>
    </w:tr>
    <w:tr w:rsidR="00BD4CF7" w:rsidRPr="00DA7869" w14:paraId="66FC0845" w14:textId="77777777" w:rsidTr="00AE3B5C">
      <w:trPr>
        <w:trHeight w:val="368"/>
      </w:trPr>
      <w:tc>
        <w:tcPr>
          <w:tcW w:w="1673" w:type="dxa"/>
          <w:vMerge/>
          <w:vAlign w:val="center"/>
        </w:tcPr>
        <w:p w14:paraId="460C68CB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651D0BC9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265A0845" w14:textId="77777777" w:rsidR="00BD4CF7" w:rsidRPr="00F54BD7" w:rsidRDefault="0059431E" w:rsidP="00F06850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>
            <w:rPr>
              <w:rFonts w:ascii="Arial" w:hAnsi="Arial"/>
              <w:b/>
              <w:sz w:val="16"/>
              <w:szCs w:val="16"/>
              <w:lang w:val="es-CO"/>
            </w:rPr>
            <w:t>Versión: 1</w:t>
          </w:r>
        </w:p>
      </w:tc>
    </w:tr>
    <w:tr w:rsidR="007740E7" w:rsidRPr="00DA7869" w14:paraId="33B2180F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6DD62AA9" w14:textId="77777777" w:rsidR="007740E7" w:rsidRPr="00DA7869" w:rsidRDefault="007740E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4C2F8F4D" w14:textId="77777777" w:rsidR="007740E7" w:rsidRPr="00DA7869" w:rsidRDefault="007740E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7996B31" w14:textId="77777777" w:rsidR="007740E7" w:rsidRPr="00F54BD7" w:rsidRDefault="007740E7" w:rsidP="0059431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59431E" w:rsidRPr="0059431E">
            <w:rPr>
              <w:rFonts w:ascii="Arial" w:hAnsi="Arial" w:cs="Arial"/>
              <w:b/>
              <w:color w:val="FF0000"/>
              <w:sz w:val="16"/>
              <w:szCs w:val="16"/>
            </w:rPr>
            <w:t>XX/02/2019</w:t>
          </w:r>
        </w:p>
      </w:tc>
    </w:tr>
    <w:tr w:rsidR="00BD4CF7" w:rsidRPr="00DA7869" w14:paraId="50192A1E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5251C872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2683A4D1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56B2E1" w14:textId="77777777" w:rsidR="00BD4CF7" w:rsidRPr="00F54BD7" w:rsidRDefault="00BD4CF7" w:rsidP="00740D4F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07E9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07E95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071AC91" w14:textId="77777777" w:rsidR="00A928D6" w:rsidRDefault="00A928D6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6DF"/>
    <w:multiLevelType w:val="hybridMultilevel"/>
    <w:tmpl w:val="C9E278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7195"/>
    <w:multiLevelType w:val="hybridMultilevel"/>
    <w:tmpl w:val="B88A0E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2447"/>
    <w:multiLevelType w:val="hybridMultilevel"/>
    <w:tmpl w:val="6B74B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7EF"/>
    <w:multiLevelType w:val="hybridMultilevel"/>
    <w:tmpl w:val="605C44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081D"/>
    <w:multiLevelType w:val="hybridMultilevel"/>
    <w:tmpl w:val="C62287EE"/>
    <w:lvl w:ilvl="0" w:tplc="6296A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E0E"/>
    <w:multiLevelType w:val="hybridMultilevel"/>
    <w:tmpl w:val="CD9EB424"/>
    <w:lvl w:ilvl="0" w:tplc="6296A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C77B6"/>
    <w:multiLevelType w:val="hybridMultilevel"/>
    <w:tmpl w:val="D7F2E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12A0"/>
    <w:multiLevelType w:val="hybridMultilevel"/>
    <w:tmpl w:val="3A52E9E4"/>
    <w:lvl w:ilvl="0" w:tplc="DB98F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125E"/>
    <w:multiLevelType w:val="hybridMultilevel"/>
    <w:tmpl w:val="17FA1A82"/>
    <w:lvl w:ilvl="0" w:tplc="3F5633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072B7"/>
    <w:multiLevelType w:val="hybridMultilevel"/>
    <w:tmpl w:val="5F00DA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6D95"/>
    <w:multiLevelType w:val="hybridMultilevel"/>
    <w:tmpl w:val="785CC4AA"/>
    <w:lvl w:ilvl="0" w:tplc="65E68F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145C4"/>
    <w:multiLevelType w:val="hybridMultilevel"/>
    <w:tmpl w:val="D3D42A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00216"/>
    <w:multiLevelType w:val="hybridMultilevel"/>
    <w:tmpl w:val="B6D24A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32"/>
    <w:rsid w:val="000203F5"/>
    <w:rsid w:val="00053D83"/>
    <w:rsid w:val="000A7FE9"/>
    <w:rsid w:val="000C20A3"/>
    <w:rsid w:val="000D0A2D"/>
    <w:rsid w:val="00103EB7"/>
    <w:rsid w:val="001306FD"/>
    <w:rsid w:val="00130929"/>
    <w:rsid w:val="00131CAD"/>
    <w:rsid w:val="001373BF"/>
    <w:rsid w:val="00141F7D"/>
    <w:rsid w:val="00144094"/>
    <w:rsid w:val="001620C8"/>
    <w:rsid w:val="0016755F"/>
    <w:rsid w:val="001838D5"/>
    <w:rsid w:val="001B6463"/>
    <w:rsid w:val="001C5757"/>
    <w:rsid w:val="001E5832"/>
    <w:rsid w:val="0020337E"/>
    <w:rsid w:val="002066EF"/>
    <w:rsid w:val="00206CB5"/>
    <w:rsid w:val="0021041E"/>
    <w:rsid w:val="002214A7"/>
    <w:rsid w:val="0023237C"/>
    <w:rsid w:val="00243BE3"/>
    <w:rsid w:val="0024727E"/>
    <w:rsid w:val="00270673"/>
    <w:rsid w:val="002750DB"/>
    <w:rsid w:val="00282504"/>
    <w:rsid w:val="00287B32"/>
    <w:rsid w:val="002A0A35"/>
    <w:rsid w:val="002A4238"/>
    <w:rsid w:val="002C3277"/>
    <w:rsid w:val="002E051C"/>
    <w:rsid w:val="002E7557"/>
    <w:rsid w:val="002F785B"/>
    <w:rsid w:val="00301726"/>
    <w:rsid w:val="00334F46"/>
    <w:rsid w:val="00342611"/>
    <w:rsid w:val="00366872"/>
    <w:rsid w:val="00367CE4"/>
    <w:rsid w:val="00373CD1"/>
    <w:rsid w:val="00381E3E"/>
    <w:rsid w:val="0039056F"/>
    <w:rsid w:val="00393AD1"/>
    <w:rsid w:val="003A7721"/>
    <w:rsid w:val="003B2394"/>
    <w:rsid w:val="003B4786"/>
    <w:rsid w:val="00407AE9"/>
    <w:rsid w:val="00410518"/>
    <w:rsid w:val="00425413"/>
    <w:rsid w:val="00440020"/>
    <w:rsid w:val="00451E0B"/>
    <w:rsid w:val="00463CDD"/>
    <w:rsid w:val="00466720"/>
    <w:rsid w:val="00481317"/>
    <w:rsid w:val="00486616"/>
    <w:rsid w:val="004D0692"/>
    <w:rsid w:val="004D4055"/>
    <w:rsid w:val="004F5989"/>
    <w:rsid w:val="005027A7"/>
    <w:rsid w:val="00507C2A"/>
    <w:rsid w:val="00515FBA"/>
    <w:rsid w:val="00527B20"/>
    <w:rsid w:val="00537B76"/>
    <w:rsid w:val="00542F43"/>
    <w:rsid w:val="00545CF6"/>
    <w:rsid w:val="00550122"/>
    <w:rsid w:val="0055741A"/>
    <w:rsid w:val="005617AE"/>
    <w:rsid w:val="00575AA3"/>
    <w:rsid w:val="00582C2A"/>
    <w:rsid w:val="00591FCC"/>
    <w:rsid w:val="0059431E"/>
    <w:rsid w:val="005943F3"/>
    <w:rsid w:val="005A5836"/>
    <w:rsid w:val="005C01D5"/>
    <w:rsid w:val="005C0C95"/>
    <w:rsid w:val="00611FA2"/>
    <w:rsid w:val="0063315D"/>
    <w:rsid w:val="006716D7"/>
    <w:rsid w:val="00672F4A"/>
    <w:rsid w:val="006C09F7"/>
    <w:rsid w:val="00702A65"/>
    <w:rsid w:val="00722874"/>
    <w:rsid w:val="007234DF"/>
    <w:rsid w:val="007235E6"/>
    <w:rsid w:val="00726E2B"/>
    <w:rsid w:val="007379FD"/>
    <w:rsid w:val="00740D4F"/>
    <w:rsid w:val="00756DFB"/>
    <w:rsid w:val="00767862"/>
    <w:rsid w:val="007740E7"/>
    <w:rsid w:val="00783810"/>
    <w:rsid w:val="007932D9"/>
    <w:rsid w:val="007A7D26"/>
    <w:rsid w:val="007B6904"/>
    <w:rsid w:val="007D04D4"/>
    <w:rsid w:val="007D2F90"/>
    <w:rsid w:val="007E3E59"/>
    <w:rsid w:val="007E6C8B"/>
    <w:rsid w:val="007F2819"/>
    <w:rsid w:val="008006A2"/>
    <w:rsid w:val="00812412"/>
    <w:rsid w:val="00820FC8"/>
    <w:rsid w:val="00824A53"/>
    <w:rsid w:val="00853271"/>
    <w:rsid w:val="008542D4"/>
    <w:rsid w:val="00874692"/>
    <w:rsid w:val="00883755"/>
    <w:rsid w:val="008A09B5"/>
    <w:rsid w:val="008A4B90"/>
    <w:rsid w:val="008C352E"/>
    <w:rsid w:val="008D03EF"/>
    <w:rsid w:val="0091211F"/>
    <w:rsid w:val="009203E1"/>
    <w:rsid w:val="009312E5"/>
    <w:rsid w:val="00957FD9"/>
    <w:rsid w:val="009610E2"/>
    <w:rsid w:val="00964DDB"/>
    <w:rsid w:val="00967E5A"/>
    <w:rsid w:val="009729DD"/>
    <w:rsid w:val="00982A37"/>
    <w:rsid w:val="00982D6C"/>
    <w:rsid w:val="00983875"/>
    <w:rsid w:val="009A38E8"/>
    <w:rsid w:val="009B1E0B"/>
    <w:rsid w:val="009E2196"/>
    <w:rsid w:val="009E30EB"/>
    <w:rsid w:val="009F75F9"/>
    <w:rsid w:val="00A132B0"/>
    <w:rsid w:val="00A41A19"/>
    <w:rsid w:val="00A87D02"/>
    <w:rsid w:val="00A928D6"/>
    <w:rsid w:val="00AA2DE0"/>
    <w:rsid w:val="00AC421E"/>
    <w:rsid w:val="00AE3B5C"/>
    <w:rsid w:val="00AE7652"/>
    <w:rsid w:val="00AF34DA"/>
    <w:rsid w:val="00AF5803"/>
    <w:rsid w:val="00B16B8C"/>
    <w:rsid w:val="00B51EC7"/>
    <w:rsid w:val="00B5306F"/>
    <w:rsid w:val="00B72754"/>
    <w:rsid w:val="00B7444F"/>
    <w:rsid w:val="00B8149D"/>
    <w:rsid w:val="00B82969"/>
    <w:rsid w:val="00B97AAC"/>
    <w:rsid w:val="00BA47E8"/>
    <w:rsid w:val="00BB0A90"/>
    <w:rsid w:val="00BD4CF7"/>
    <w:rsid w:val="00BD691A"/>
    <w:rsid w:val="00BF237A"/>
    <w:rsid w:val="00C042BD"/>
    <w:rsid w:val="00C13247"/>
    <w:rsid w:val="00C170CE"/>
    <w:rsid w:val="00C42ED5"/>
    <w:rsid w:val="00C52D1E"/>
    <w:rsid w:val="00C67FB6"/>
    <w:rsid w:val="00C73B51"/>
    <w:rsid w:val="00C86E35"/>
    <w:rsid w:val="00CA5B0B"/>
    <w:rsid w:val="00CE3E4E"/>
    <w:rsid w:val="00D07E95"/>
    <w:rsid w:val="00D531FF"/>
    <w:rsid w:val="00D64459"/>
    <w:rsid w:val="00D9110A"/>
    <w:rsid w:val="00DA25A2"/>
    <w:rsid w:val="00DB6D56"/>
    <w:rsid w:val="00DD749F"/>
    <w:rsid w:val="00DF0563"/>
    <w:rsid w:val="00DF1603"/>
    <w:rsid w:val="00E01A8A"/>
    <w:rsid w:val="00E169DB"/>
    <w:rsid w:val="00E206DA"/>
    <w:rsid w:val="00E33469"/>
    <w:rsid w:val="00E43CBC"/>
    <w:rsid w:val="00E53C78"/>
    <w:rsid w:val="00E80E6A"/>
    <w:rsid w:val="00ED05B4"/>
    <w:rsid w:val="00EE1215"/>
    <w:rsid w:val="00EF0C59"/>
    <w:rsid w:val="00EF3765"/>
    <w:rsid w:val="00F06850"/>
    <w:rsid w:val="00F22DCA"/>
    <w:rsid w:val="00F253BF"/>
    <w:rsid w:val="00F41D4F"/>
    <w:rsid w:val="00F505E9"/>
    <w:rsid w:val="00F50A90"/>
    <w:rsid w:val="00F93CB7"/>
    <w:rsid w:val="00F95DA2"/>
    <w:rsid w:val="00FA0C8D"/>
    <w:rsid w:val="00FA2D58"/>
    <w:rsid w:val="00FA596C"/>
    <w:rsid w:val="00FD5D26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1E8D1"/>
  <w15:docId w15:val="{F4D24D66-1FD3-4068-84B7-21FB4B7A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4D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A4238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A423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A4238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A4238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A4238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A4238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A423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2A4238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2A4238"/>
    <w:rPr>
      <w:rFonts w:ascii="Tahoma" w:hAnsi="Tahoma"/>
      <w:sz w:val="16"/>
    </w:rPr>
  </w:style>
  <w:style w:type="character" w:customStyle="1" w:styleId="Hipervnculo1">
    <w:name w:val="Hipervínculo1"/>
    <w:rsid w:val="002A4238"/>
    <w:rPr>
      <w:color w:val="0000FF"/>
      <w:u w:val="single"/>
    </w:rPr>
  </w:style>
  <w:style w:type="paragraph" w:customStyle="1" w:styleId="estilo4">
    <w:name w:val="estilo4"/>
    <w:basedOn w:val="Normal"/>
    <w:rsid w:val="002A4238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2A4238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2A4238"/>
    <w:rPr>
      <w:b/>
      <w:color w:val="FF0000"/>
    </w:rPr>
  </w:style>
  <w:style w:type="paragraph" w:styleId="NormalWeb">
    <w:name w:val="Normal (Web)"/>
    <w:basedOn w:val="Normal"/>
    <w:rsid w:val="002A4238"/>
    <w:pPr>
      <w:spacing w:before="100" w:after="100"/>
    </w:pPr>
    <w:rPr>
      <w:sz w:val="24"/>
      <w:lang w:val="es-ES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D4CF7"/>
    <w:rPr>
      <w:lang w:val="es-ES_tradnl" w:eastAsia="es-ES"/>
    </w:rPr>
  </w:style>
  <w:style w:type="table" w:styleId="Tablaconcuadrcula">
    <w:name w:val="Table Grid"/>
    <w:basedOn w:val="Tablanormal"/>
    <w:uiPriority w:val="59"/>
    <w:rsid w:val="0044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41F7D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5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E3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evisin">
    <w:name w:val="Revision"/>
    <w:hidden/>
    <w:uiPriority w:val="99"/>
    <w:semiHidden/>
    <w:rsid w:val="007D2F90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D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DF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DFB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D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DFB"/>
    <w:rPr>
      <w:b/>
      <w:bCs/>
      <w:lang w:val="es-ES_tradnl" w:eastAsia="es-ES"/>
    </w:rPr>
  </w:style>
  <w:style w:type="paragraph" w:customStyle="1" w:styleId="Default">
    <w:name w:val="Default"/>
    <w:rsid w:val="008542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64DD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64DDB"/>
    <w:rPr>
      <w:sz w:val="24"/>
      <w:szCs w:val="24"/>
    </w:rPr>
  </w:style>
  <w:style w:type="paragraph" w:styleId="Sinespaciado">
    <w:name w:val="No Spacing"/>
    <w:uiPriority w:val="1"/>
    <w:qFormat/>
    <w:rsid w:val="00C86E35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-format-content">
    <w:name w:val="text-format-content"/>
    <w:basedOn w:val="Fuentedeprrafopredeter"/>
    <w:rsid w:val="0078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cLzQ2X3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ardozo\Escritorio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1BBB-82CD-4F16-90FA-27413400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16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1529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http://www.idep.edu.co/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mcardozo</dc:creator>
  <cp:lastModifiedBy>Calidad ETITC</cp:lastModifiedBy>
  <cp:revision>16</cp:revision>
  <cp:lastPrinted>2008-06-24T20:09:00Z</cp:lastPrinted>
  <dcterms:created xsi:type="dcterms:W3CDTF">2023-05-03T20:48:00Z</dcterms:created>
  <dcterms:modified xsi:type="dcterms:W3CDTF">2023-05-03T21:30:00Z</dcterms:modified>
</cp:coreProperties>
</file>